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35" w:rsidRDefault="00D00535" w:rsidP="00D0053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.</w:t>
      </w:r>
    </w:p>
    <w:p w:rsidR="00D00535" w:rsidRDefault="00D00535" w:rsidP="00D00535">
      <w:pPr>
        <w:ind w:firstLine="720"/>
        <w:jc w:val="both"/>
        <w:rPr>
          <w:rFonts w:ascii="Arial" w:hAnsi="Arial" w:cs="Arial"/>
        </w:rPr>
      </w:pPr>
    </w:p>
    <w:p w:rsidR="00D00535" w:rsidRPr="00D750FD" w:rsidRDefault="00D00535" w:rsidP="00D00535">
      <w:pPr>
        <w:jc w:val="center"/>
        <w:rPr>
          <w:b/>
          <w:sz w:val="20"/>
          <w:szCs w:val="20"/>
        </w:rPr>
      </w:pPr>
      <w:r w:rsidRPr="00D750FD">
        <w:rPr>
          <w:b/>
          <w:sz w:val="20"/>
          <w:szCs w:val="20"/>
        </w:rPr>
        <w:t xml:space="preserve">Программа </w:t>
      </w:r>
    </w:p>
    <w:p w:rsidR="00D00535" w:rsidRPr="00D750FD" w:rsidRDefault="00D00535" w:rsidP="00D005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Мастер-класса «Эффективное управление предприятием»</w:t>
      </w:r>
    </w:p>
    <w:p w:rsidR="00D00535" w:rsidRPr="00D750FD" w:rsidRDefault="00D00535" w:rsidP="00D00535">
      <w:pPr>
        <w:widowControl w:val="0"/>
        <w:rPr>
          <w:rFonts w:eastAsia="SimSun" w:cs="Mangal"/>
          <w:kern w:val="1"/>
          <w:sz w:val="20"/>
          <w:szCs w:val="20"/>
          <w:lang w:eastAsia="hi-IN" w:bidi="hi-IN"/>
        </w:rPr>
      </w:pPr>
      <w:r w:rsidRPr="00D750FD">
        <w:rPr>
          <w:rFonts w:eastAsia="SimSun" w:cs="Mangal"/>
          <w:kern w:val="1"/>
          <w:sz w:val="20"/>
          <w:szCs w:val="20"/>
          <w:lang w:eastAsia="hi-IN" w:bidi="hi-IN"/>
        </w:rPr>
        <w:t xml:space="preserve">Продолжительность </w:t>
      </w:r>
      <w:r>
        <w:rPr>
          <w:rFonts w:eastAsia="SimSun" w:cs="Mangal"/>
          <w:kern w:val="1"/>
          <w:sz w:val="20"/>
          <w:szCs w:val="20"/>
          <w:lang w:eastAsia="hi-IN" w:bidi="hi-IN"/>
        </w:rPr>
        <w:t>— 8</w:t>
      </w:r>
      <w:r w:rsidRPr="00D750FD">
        <w:rPr>
          <w:rFonts w:eastAsia="SimSun" w:cs="Mangal"/>
          <w:kern w:val="1"/>
          <w:sz w:val="20"/>
          <w:szCs w:val="20"/>
          <w:lang w:eastAsia="hi-IN" w:bidi="hi-IN"/>
        </w:rPr>
        <w:t xml:space="preserve"> академических часов.</w:t>
      </w:r>
    </w:p>
    <w:p w:rsidR="00D00535" w:rsidRDefault="00D00535" w:rsidP="00D00535">
      <w:pPr>
        <w:rPr>
          <w:rFonts w:eastAsia="SimSun"/>
          <w:kern w:val="1"/>
          <w:sz w:val="20"/>
          <w:szCs w:val="20"/>
          <w:lang w:eastAsia="hi-IN" w:bidi="hi-IN"/>
        </w:rPr>
      </w:pPr>
      <w:r w:rsidRPr="00D750FD">
        <w:rPr>
          <w:rFonts w:eastAsia="SimSun"/>
          <w:b/>
          <w:bCs/>
          <w:kern w:val="1"/>
          <w:sz w:val="20"/>
          <w:szCs w:val="20"/>
          <w:lang w:eastAsia="hi-IN" w:bidi="hi-IN"/>
        </w:rPr>
        <w:t>Автор и ведущий:</w:t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20"/>
          <w:lang w:eastAsia="hi-IN" w:bidi="hi-IN"/>
        </w:rPr>
        <w:t>Краснова Наталья Владимировна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Вся программа распределена следующим образом: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 xml:space="preserve">30 - 40 % времени - академические знания, для формирования единого понятийного поля у слушателей 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 xml:space="preserve">60 - 70 % времени - практические задания, кейсы и упражнения, для получения практических навыков. Работа участников над различными разделами программы и всего кейса в целом, позволит им объединить все полученные академические знания и практические навыки. 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b/>
          <w:bCs/>
          <w:smallCaps/>
          <w:spacing w:val="-1"/>
          <w:sz w:val="22"/>
          <w:szCs w:val="22"/>
        </w:rPr>
        <w:t>Блоки программы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  <w:lang w:val="en-US"/>
        </w:rPr>
      </w:pPr>
      <w:r w:rsidRPr="00F23D6A">
        <w:rPr>
          <w:rFonts w:eastAsia="Calibri"/>
          <w:b/>
          <w:bCs/>
          <w:sz w:val="22"/>
          <w:szCs w:val="22"/>
        </w:rPr>
        <w:t xml:space="preserve">Современные управленческие системы и методы. </w:t>
      </w:r>
      <w:r w:rsidRPr="00F23D6A">
        <w:rPr>
          <w:rFonts w:eastAsia="Calibri"/>
          <w:b/>
          <w:bCs/>
          <w:sz w:val="22"/>
          <w:szCs w:val="22"/>
          <w:lang w:val="en-US"/>
        </w:rPr>
        <w:t xml:space="preserve">Fundamentals of Strategic Management - </w:t>
      </w:r>
      <w:r w:rsidRPr="00D00535">
        <w:rPr>
          <w:rFonts w:eastAsia="Calibri"/>
          <w:b/>
          <w:bCs/>
          <w:sz w:val="22"/>
          <w:szCs w:val="22"/>
          <w:lang w:val="en-US"/>
        </w:rPr>
        <w:t>3</w:t>
      </w:r>
      <w:r w:rsidRPr="00F23D6A">
        <w:rPr>
          <w:rFonts w:eastAsia="Calibri"/>
          <w:b/>
          <w:bCs/>
          <w:sz w:val="22"/>
          <w:szCs w:val="22"/>
        </w:rPr>
        <w:t>часа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  <w:lang w:val="en-US"/>
        </w:rPr>
      </w:pPr>
      <w:proofErr w:type="gramStart"/>
      <w:r w:rsidRPr="00F23D6A">
        <w:rPr>
          <w:rFonts w:eastAsia="Calibri"/>
          <w:spacing w:val="-1"/>
          <w:sz w:val="22"/>
          <w:szCs w:val="22"/>
          <w:lang w:val="en-US"/>
        </w:rPr>
        <w:t xml:space="preserve">- </w:t>
      </w:r>
      <w:r w:rsidRPr="00F23D6A">
        <w:rPr>
          <w:rFonts w:eastAsia="Calibri"/>
          <w:spacing w:val="-1"/>
          <w:sz w:val="22"/>
          <w:szCs w:val="22"/>
        </w:rPr>
        <w:t>Стратегическое</w:t>
      </w:r>
      <w:r w:rsidRPr="00D00535">
        <w:rPr>
          <w:rFonts w:eastAsia="Calibri"/>
          <w:spacing w:val="-1"/>
          <w:sz w:val="22"/>
          <w:szCs w:val="22"/>
          <w:lang w:val="en-US"/>
        </w:rPr>
        <w:t xml:space="preserve"> </w:t>
      </w:r>
      <w:r w:rsidRPr="00F23D6A">
        <w:rPr>
          <w:rFonts w:eastAsia="Calibri"/>
          <w:sz w:val="22"/>
          <w:szCs w:val="22"/>
        </w:rPr>
        <w:t>планирование</w:t>
      </w:r>
      <w:r w:rsidRPr="00F23D6A">
        <w:rPr>
          <w:rFonts w:eastAsia="Calibri"/>
          <w:spacing w:val="-1"/>
          <w:sz w:val="22"/>
          <w:szCs w:val="22"/>
          <w:lang w:val="en-US"/>
        </w:rPr>
        <w:t>.</w:t>
      </w:r>
      <w:proofErr w:type="gramEnd"/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pacing w:val="-1"/>
          <w:sz w:val="22"/>
          <w:szCs w:val="22"/>
        </w:rPr>
        <w:t>- Модели стратегического анализа компании.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pacing w:val="-1"/>
          <w:sz w:val="22"/>
          <w:szCs w:val="22"/>
        </w:rPr>
        <w:t>- Уровни и методы перспективного планирования.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pacing w:val="-1"/>
          <w:sz w:val="22"/>
          <w:szCs w:val="22"/>
        </w:rPr>
        <w:t xml:space="preserve">- </w:t>
      </w:r>
      <w:r w:rsidRPr="00F23D6A">
        <w:rPr>
          <w:rFonts w:eastAsia="Calibri"/>
          <w:spacing w:val="-1"/>
          <w:sz w:val="22"/>
          <w:szCs w:val="22"/>
          <w:lang w:val="en-US"/>
        </w:rPr>
        <w:t>Performance</w:t>
      </w:r>
      <w:proofErr w:type="spellStart"/>
      <w:r w:rsidRPr="00F23D6A">
        <w:rPr>
          <w:rFonts w:eastAsia="Calibri"/>
          <w:sz w:val="22"/>
          <w:szCs w:val="22"/>
        </w:rPr>
        <w:t>Management</w:t>
      </w:r>
      <w:proofErr w:type="spellEnd"/>
      <w:r w:rsidRPr="00F23D6A">
        <w:rPr>
          <w:rFonts w:eastAsia="Calibri"/>
          <w:spacing w:val="-1"/>
          <w:sz w:val="22"/>
          <w:szCs w:val="22"/>
        </w:rPr>
        <w:t>.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 xml:space="preserve">- Ориентация на стратегию. Сбалансированная система показателей - </w:t>
      </w:r>
      <w:r w:rsidRPr="00F23D6A">
        <w:rPr>
          <w:rFonts w:eastAsia="Calibri"/>
          <w:sz w:val="22"/>
          <w:szCs w:val="22"/>
          <w:lang w:val="en-US"/>
        </w:rPr>
        <w:t>BSC</w:t>
      </w:r>
      <w:r w:rsidRPr="00F23D6A">
        <w:rPr>
          <w:rFonts w:eastAsia="Calibri"/>
          <w:sz w:val="22"/>
          <w:szCs w:val="22"/>
        </w:rPr>
        <w:t>.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pacing w:val="-1"/>
          <w:sz w:val="22"/>
          <w:szCs w:val="22"/>
        </w:rPr>
        <w:t>- От стратегии к действию. Внедрение стратегии.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pacing w:val="-1"/>
          <w:sz w:val="22"/>
          <w:szCs w:val="22"/>
        </w:rPr>
        <w:t>- Процессное управление.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b/>
          <w:bCs/>
          <w:sz w:val="22"/>
          <w:szCs w:val="22"/>
          <w:lang w:val="en-US"/>
        </w:rPr>
        <w:t>Human</w:t>
      </w:r>
      <w:proofErr w:type="spellStart"/>
      <w:r w:rsidRPr="00F23D6A">
        <w:rPr>
          <w:rFonts w:eastAsia="Calibri"/>
          <w:b/>
          <w:bCs/>
          <w:sz w:val="22"/>
          <w:szCs w:val="22"/>
        </w:rPr>
        <w:t>RecourseManagement</w:t>
      </w:r>
      <w:proofErr w:type="spellEnd"/>
      <w:r w:rsidRPr="00F23D6A">
        <w:rPr>
          <w:rFonts w:eastAsia="Calibri"/>
          <w:b/>
          <w:bCs/>
          <w:sz w:val="22"/>
          <w:szCs w:val="22"/>
        </w:rPr>
        <w:t>- 2 часа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pacing w:val="-1"/>
          <w:sz w:val="22"/>
          <w:szCs w:val="22"/>
        </w:rPr>
        <w:t>- Предмет и понятие управления человеческими ресурсами.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pacing w:val="-1"/>
          <w:sz w:val="22"/>
          <w:szCs w:val="22"/>
        </w:rPr>
        <w:t xml:space="preserve">- Стратегия управления персоналом в зависимости от задач компании. 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pacing w:val="-1"/>
          <w:sz w:val="22"/>
          <w:szCs w:val="22"/>
        </w:rPr>
        <w:t xml:space="preserve">- Корпоративная культура и </w:t>
      </w:r>
      <w:proofErr w:type="gramStart"/>
      <w:r w:rsidRPr="00F23D6A">
        <w:rPr>
          <w:rFonts w:eastAsia="Calibri"/>
          <w:sz w:val="22"/>
          <w:szCs w:val="22"/>
        </w:rPr>
        <w:t>внутренний</w:t>
      </w:r>
      <w:proofErr w:type="gramEnd"/>
      <w:r w:rsidRPr="00F23D6A">
        <w:rPr>
          <w:rFonts w:eastAsia="Calibri"/>
          <w:sz w:val="22"/>
          <w:szCs w:val="22"/>
        </w:rPr>
        <w:t xml:space="preserve"> </w:t>
      </w:r>
      <w:r w:rsidRPr="00F23D6A">
        <w:rPr>
          <w:rFonts w:eastAsia="Calibri"/>
          <w:sz w:val="22"/>
          <w:szCs w:val="22"/>
          <w:lang w:val="en-US"/>
        </w:rPr>
        <w:t>PR</w:t>
      </w:r>
      <w:r w:rsidRPr="00F23D6A">
        <w:rPr>
          <w:rFonts w:eastAsia="Calibri"/>
          <w:sz w:val="22"/>
          <w:szCs w:val="22"/>
        </w:rPr>
        <w:t>.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- Управление персоналом на основе модели компетенций: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- Подбор по компетенциям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- Оценка на основе компетенций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- Обучение и развитие персонала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 xml:space="preserve">- </w:t>
      </w:r>
      <w:r w:rsidRPr="00F23D6A">
        <w:rPr>
          <w:rFonts w:eastAsia="Calibri"/>
          <w:spacing w:val="-1"/>
          <w:sz w:val="22"/>
          <w:szCs w:val="22"/>
        </w:rPr>
        <w:t>Система мотивации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b/>
          <w:bCs/>
          <w:sz w:val="22"/>
          <w:szCs w:val="22"/>
          <w:lang w:val="en-US"/>
        </w:rPr>
        <w:t>Managing</w:t>
      </w:r>
      <w:proofErr w:type="spellStart"/>
      <w:r w:rsidRPr="00F23D6A">
        <w:rPr>
          <w:rFonts w:eastAsia="Calibri"/>
          <w:b/>
          <w:bCs/>
          <w:sz w:val="22"/>
          <w:szCs w:val="22"/>
        </w:rPr>
        <w:t>Projects</w:t>
      </w:r>
      <w:proofErr w:type="spellEnd"/>
      <w:r w:rsidRPr="00F23D6A">
        <w:rPr>
          <w:rFonts w:eastAsia="Calibri"/>
          <w:b/>
          <w:bCs/>
          <w:sz w:val="22"/>
          <w:szCs w:val="22"/>
        </w:rPr>
        <w:t xml:space="preserve"> -3 часа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pacing w:val="-1"/>
          <w:sz w:val="22"/>
          <w:szCs w:val="22"/>
        </w:rPr>
        <w:t xml:space="preserve">Концепция и основы управления проектами. Жизненный цикл проекта. Стандарты управления </w:t>
      </w:r>
      <w:r w:rsidRPr="00F23D6A">
        <w:rPr>
          <w:rFonts w:eastAsia="Calibri"/>
          <w:sz w:val="22"/>
          <w:szCs w:val="22"/>
        </w:rPr>
        <w:t>проектами.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- Процесс планирования содержания (</w:t>
      </w:r>
      <w:r w:rsidRPr="00F23D6A">
        <w:rPr>
          <w:rFonts w:eastAsia="Calibri"/>
          <w:sz w:val="22"/>
          <w:szCs w:val="22"/>
          <w:lang w:val="en-US"/>
        </w:rPr>
        <w:t>Scope</w:t>
      </w:r>
      <w:proofErr w:type="spellStart"/>
      <w:r w:rsidRPr="00F23D6A">
        <w:rPr>
          <w:rFonts w:eastAsia="Calibri"/>
          <w:sz w:val="22"/>
          <w:szCs w:val="22"/>
        </w:rPr>
        <w:t>Planning</w:t>
      </w:r>
      <w:proofErr w:type="spellEnd"/>
      <w:r w:rsidRPr="00F23D6A">
        <w:rPr>
          <w:rFonts w:eastAsia="Calibri"/>
          <w:sz w:val="22"/>
          <w:szCs w:val="22"/>
        </w:rPr>
        <w:t>)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- Процесс Определение содержания (</w:t>
      </w:r>
      <w:r w:rsidRPr="00F23D6A">
        <w:rPr>
          <w:rFonts w:eastAsia="Calibri"/>
          <w:sz w:val="22"/>
          <w:szCs w:val="22"/>
          <w:lang w:val="en-US"/>
        </w:rPr>
        <w:t>Scope</w:t>
      </w:r>
      <w:proofErr w:type="spellStart"/>
      <w:r w:rsidRPr="00F23D6A">
        <w:rPr>
          <w:rFonts w:eastAsia="Calibri"/>
          <w:sz w:val="22"/>
          <w:szCs w:val="22"/>
        </w:rPr>
        <w:t>Definition</w:t>
      </w:r>
      <w:proofErr w:type="spellEnd"/>
      <w:r w:rsidRPr="00F23D6A">
        <w:rPr>
          <w:rFonts w:eastAsia="Calibri"/>
          <w:sz w:val="22"/>
          <w:szCs w:val="22"/>
        </w:rPr>
        <w:t>)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- Процесс Определение состава операций (</w:t>
      </w:r>
      <w:r w:rsidRPr="00F23D6A">
        <w:rPr>
          <w:rFonts w:eastAsia="Calibri"/>
          <w:sz w:val="22"/>
          <w:szCs w:val="22"/>
          <w:lang w:val="en-US"/>
        </w:rPr>
        <w:t>Activity</w:t>
      </w:r>
      <w:proofErr w:type="spellStart"/>
      <w:r w:rsidRPr="00F23D6A">
        <w:rPr>
          <w:rFonts w:eastAsia="Calibri"/>
          <w:sz w:val="22"/>
          <w:szCs w:val="22"/>
        </w:rPr>
        <w:t>Definition</w:t>
      </w:r>
      <w:proofErr w:type="spellEnd"/>
      <w:r w:rsidRPr="00F23D6A">
        <w:rPr>
          <w:rFonts w:eastAsia="Calibri"/>
          <w:sz w:val="22"/>
          <w:szCs w:val="22"/>
        </w:rPr>
        <w:t>)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- Процесс Определение взаимосвязи операций (</w:t>
      </w:r>
      <w:r w:rsidRPr="00F23D6A">
        <w:rPr>
          <w:rFonts w:eastAsia="Calibri"/>
          <w:sz w:val="22"/>
          <w:szCs w:val="22"/>
          <w:lang w:val="en-US"/>
        </w:rPr>
        <w:t>Activity</w:t>
      </w:r>
      <w:proofErr w:type="spellStart"/>
      <w:r w:rsidRPr="00F23D6A">
        <w:rPr>
          <w:rFonts w:eastAsia="Calibri"/>
          <w:sz w:val="22"/>
          <w:szCs w:val="22"/>
        </w:rPr>
        <w:t>Sequencing</w:t>
      </w:r>
      <w:proofErr w:type="spellEnd"/>
      <w:r w:rsidRPr="00F23D6A">
        <w:rPr>
          <w:rFonts w:eastAsia="Calibri"/>
          <w:sz w:val="22"/>
          <w:szCs w:val="22"/>
        </w:rPr>
        <w:t>)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- Процесс Оценка ресурсов операций (</w:t>
      </w:r>
      <w:r w:rsidRPr="00F23D6A">
        <w:rPr>
          <w:rFonts w:eastAsia="Calibri"/>
          <w:sz w:val="22"/>
          <w:szCs w:val="22"/>
          <w:lang w:val="en-US"/>
        </w:rPr>
        <w:t>Resource</w:t>
      </w:r>
      <w:proofErr w:type="spellStart"/>
      <w:r w:rsidRPr="00F23D6A">
        <w:rPr>
          <w:rFonts w:eastAsia="Calibri"/>
          <w:sz w:val="22"/>
          <w:szCs w:val="22"/>
        </w:rPr>
        <w:t>Planning</w:t>
      </w:r>
      <w:proofErr w:type="spellEnd"/>
      <w:r w:rsidRPr="00F23D6A">
        <w:rPr>
          <w:rFonts w:eastAsia="Calibri"/>
          <w:sz w:val="22"/>
          <w:szCs w:val="22"/>
        </w:rPr>
        <w:t>)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- Процесс Разработки Расписания (</w:t>
      </w:r>
      <w:r w:rsidRPr="00F23D6A">
        <w:rPr>
          <w:rFonts w:eastAsia="Calibri"/>
          <w:sz w:val="22"/>
          <w:szCs w:val="22"/>
          <w:lang w:val="en-US"/>
        </w:rPr>
        <w:t>Schedule</w:t>
      </w:r>
      <w:proofErr w:type="spellStart"/>
      <w:r w:rsidRPr="00F23D6A">
        <w:rPr>
          <w:rFonts w:eastAsia="Calibri"/>
          <w:sz w:val="22"/>
          <w:szCs w:val="22"/>
        </w:rPr>
        <w:t>Development</w:t>
      </w:r>
      <w:proofErr w:type="spellEnd"/>
      <w:r w:rsidRPr="00F23D6A">
        <w:rPr>
          <w:rFonts w:eastAsia="Calibri"/>
          <w:sz w:val="22"/>
          <w:szCs w:val="22"/>
        </w:rPr>
        <w:t>)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- Процесс Создания проектной команды (</w:t>
      </w:r>
      <w:r w:rsidRPr="00F23D6A">
        <w:rPr>
          <w:rFonts w:eastAsia="Calibri"/>
          <w:sz w:val="22"/>
          <w:szCs w:val="22"/>
          <w:lang w:val="en-US"/>
        </w:rPr>
        <w:t>Staff</w:t>
      </w:r>
      <w:proofErr w:type="spellStart"/>
      <w:r w:rsidRPr="00F23D6A">
        <w:rPr>
          <w:rFonts w:eastAsia="Calibri"/>
          <w:sz w:val="22"/>
          <w:szCs w:val="22"/>
        </w:rPr>
        <w:t>Acquisition</w:t>
      </w:r>
      <w:proofErr w:type="spellEnd"/>
      <w:r w:rsidRPr="00F23D6A">
        <w:rPr>
          <w:rFonts w:eastAsia="Calibri"/>
          <w:sz w:val="22"/>
          <w:szCs w:val="22"/>
        </w:rPr>
        <w:t>)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z w:val="22"/>
          <w:szCs w:val="22"/>
        </w:rPr>
        <w:t>- Процесс Развитие команды (</w:t>
      </w:r>
      <w:r w:rsidRPr="00F23D6A">
        <w:rPr>
          <w:rFonts w:eastAsia="Calibri"/>
          <w:sz w:val="22"/>
          <w:szCs w:val="22"/>
          <w:lang w:val="en-US"/>
        </w:rPr>
        <w:t>Team</w:t>
      </w:r>
      <w:proofErr w:type="spellStart"/>
      <w:r w:rsidRPr="00F23D6A">
        <w:rPr>
          <w:rFonts w:eastAsia="Calibri"/>
          <w:sz w:val="22"/>
          <w:szCs w:val="22"/>
        </w:rPr>
        <w:t>Development</w:t>
      </w:r>
      <w:proofErr w:type="spellEnd"/>
      <w:r w:rsidRPr="00F23D6A">
        <w:rPr>
          <w:rFonts w:eastAsia="Calibri"/>
          <w:sz w:val="22"/>
          <w:szCs w:val="22"/>
        </w:rPr>
        <w:t>)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 w:rsidRPr="00F23D6A">
        <w:rPr>
          <w:rFonts w:eastAsia="Calibri"/>
          <w:spacing w:val="-1"/>
          <w:sz w:val="22"/>
          <w:szCs w:val="22"/>
        </w:rPr>
        <w:t>- Процесс Управление проектной командой (</w:t>
      </w:r>
      <w:r w:rsidRPr="00F23D6A">
        <w:rPr>
          <w:rFonts w:eastAsia="Calibri"/>
          <w:spacing w:val="-1"/>
          <w:sz w:val="22"/>
          <w:szCs w:val="22"/>
          <w:lang w:val="en-US"/>
        </w:rPr>
        <w:t>Manage</w:t>
      </w:r>
      <w:proofErr w:type="spellStart"/>
      <w:r w:rsidRPr="00F23D6A">
        <w:rPr>
          <w:rFonts w:eastAsia="Calibri"/>
          <w:sz w:val="22"/>
          <w:szCs w:val="22"/>
        </w:rPr>
        <w:t>ProjectTeam</w:t>
      </w:r>
      <w:proofErr w:type="spellEnd"/>
      <w:r w:rsidRPr="00F23D6A">
        <w:rPr>
          <w:rFonts w:eastAsia="Calibri"/>
          <w:spacing w:val="-1"/>
          <w:sz w:val="22"/>
          <w:szCs w:val="22"/>
        </w:rPr>
        <w:t>).</w:t>
      </w:r>
    </w:p>
    <w:p w:rsidR="00D00535" w:rsidRPr="00F23D6A" w:rsidRDefault="00D00535" w:rsidP="00D00535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pacing w:val="-1"/>
          <w:sz w:val="22"/>
          <w:szCs w:val="22"/>
        </w:rPr>
        <w:t>- О</w:t>
      </w:r>
      <w:r w:rsidRPr="00F23D6A">
        <w:rPr>
          <w:rFonts w:eastAsia="Calibri"/>
          <w:spacing w:val="-1"/>
          <w:sz w:val="22"/>
          <w:szCs w:val="22"/>
        </w:rPr>
        <w:t xml:space="preserve">пределение перспективности проекта </w:t>
      </w:r>
    </w:p>
    <w:p w:rsidR="00D00535" w:rsidRDefault="00D00535" w:rsidP="00D00535">
      <w:pPr>
        <w:ind w:firstLine="720"/>
        <w:jc w:val="both"/>
        <w:rPr>
          <w:rFonts w:ascii="Arial" w:hAnsi="Arial" w:cs="Arial"/>
        </w:rPr>
      </w:pPr>
    </w:p>
    <w:p w:rsidR="00D00535" w:rsidRDefault="00D00535" w:rsidP="00D00535">
      <w:pPr>
        <w:ind w:firstLine="720"/>
        <w:jc w:val="both"/>
        <w:rPr>
          <w:rFonts w:ascii="Arial" w:hAnsi="Arial" w:cs="Arial"/>
        </w:rPr>
      </w:pPr>
    </w:p>
    <w:p w:rsidR="00D00535" w:rsidRDefault="00D00535" w:rsidP="00D00535">
      <w:pPr>
        <w:ind w:firstLine="720"/>
        <w:jc w:val="both"/>
        <w:rPr>
          <w:rFonts w:ascii="Arial" w:hAnsi="Arial" w:cs="Arial"/>
        </w:rPr>
      </w:pPr>
    </w:p>
    <w:p w:rsidR="00D00535" w:rsidRDefault="00D00535" w:rsidP="00D00535">
      <w:pPr>
        <w:ind w:firstLine="720"/>
        <w:jc w:val="both"/>
        <w:rPr>
          <w:rFonts w:ascii="Arial" w:hAnsi="Arial" w:cs="Arial"/>
        </w:rPr>
      </w:pPr>
    </w:p>
    <w:p w:rsidR="00D00535" w:rsidRDefault="00D00535" w:rsidP="00D00535">
      <w:pPr>
        <w:ind w:firstLine="720"/>
        <w:jc w:val="both"/>
        <w:rPr>
          <w:rFonts w:ascii="Arial" w:hAnsi="Arial" w:cs="Arial"/>
        </w:rPr>
      </w:pPr>
    </w:p>
    <w:p w:rsidR="00D00535" w:rsidRDefault="00D00535" w:rsidP="00D0053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00535" w:rsidRPr="00D00535" w:rsidRDefault="00D00535" w:rsidP="00D00535">
      <w:pPr>
        <w:shd w:val="clear" w:color="auto" w:fill="FFFFFF"/>
        <w:spacing w:before="283"/>
        <w:rPr>
          <w:rFonts w:ascii="Arial" w:hAnsi="Arial" w:cs="Arial"/>
          <w:spacing w:val="-4"/>
          <w:sz w:val="20"/>
          <w:szCs w:val="20"/>
        </w:rPr>
      </w:pPr>
      <w:r w:rsidRPr="00D00535">
        <w:rPr>
          <w:noProof/>
          <w:spacing w:val="-4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34B4DE26" wp14:editId="19BB3099">
            <wp:simplePos x="0" y="0"/>
            <wp:positionH relativeFrom="column">
              <wp:posOffset>4221480</wp:posOffset>
            </wp:positionH>
            <wp:positionV relativeFrom="paragraph">
              <wp:posOffset>-127000</wp:posOffset>
            </wp:positionV>
            <wp:extent cx="1841500" cy="1654810"/>
            <wp:effectExtent l="0" t="0" r="6350" b="2540"/>
            <wp:wrapTight wrapText="bothSides">
              <wp:wrapPolygon edited="0">
                <wp:start x="0" y="0"/>
                <wp:lineTo x="0" y="21384"/>
                <wp:lineTo x="21451" y="21384"/>
                <wp:lineTo x="214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535">
        <w:rPr>
          <w:rFonts w:ascii="Arial" w:hAnsi="Arial" w:cs="Arial"/>
          <w:spacing w:val="-4"/>
          <w:sz w:val="20"/>
          <w:szCs w:val="20"/>
        </w:rPr>
        <w:t xml:space="preserve">Информация о </w:t>
      </w:r>
      <w:proofErr w:type="gramStart"/>
      <w:r w:rsidRPr="00D00535">
        <w:rPr>
          <w:rFonts w:ascii="Arial" w:hAnsi="Arial" w:cs="Arial"/>
          <w:spacing w:val="-4"/>
          <w:sz w:val="20"/>
          <w:szCs w:val="20"/>
        </w:rPr>
        <w:t>Бизнес-тренере</w:t>
      </w:r>
      <w:proofErr w:type="gramEnd"/>
    </w:p>
    <w:p w:rsidR="00D00535" w:rsidRPr="00D00535" w:rsidRDefault="00D00535" w:rsidP="00D00535">
      <w:pPr>
        <w:shd w:val="clear" w:color="auto" w:fill="FFFFFF"/>
        <w:spacing w:before="283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Краснова Наталья Владимировна</w:t>
      </w:r>
    </w:p>
    <w:p w:rsidR="00D00535" w:rsidRPr="00D00535" w:rsidRDefault="00D00535" w:rsidP="00D00535">
      <w:pPr>
        <w:tabs>
          <w:tab w:val="left" w:pos="1134"/>
          <w:tab w:val="left" w:pos="1276"/>
          <w:tab w:val="left" w:pos="1701"/>
        </w:tabs>
        <w:ind w:firstLine="709"/>
        <w:contextualSpacing/>
        <w:jc w:val="both"/>
        <w:rPr>
          <w:rFonts w:ascii="Arial" w:hAnsi="Arial" w:cs="Arial"/>
          <w:spacing w:val="-4"/>
          <w:sz w:val="20"/>
          <w:szCs w:val="20"/>
        </w:rPr>
      </w:pPr>
    </w:p>
    <w:p w:rsidR="00D00535" w:rsidRPr="00D00535" w:rsidRDefault="00D00535" w:rsidP="00D00535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Эксперт 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в области управления эффективностью, организационного развития и развития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human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capital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. В области организационного развития и управления персоналом – 20 лет. Управленческий опыт в крупных производственных, холдинговых, финансовых, консалтинговых компаниях – 10 лет. </w:t>
      </w:r>
    </w:p>
    <w:p w:rsidR="00D00535" w:rsidRPr="00D00535" w:rsidRDefault="00D00535" w:rsidP="00D00535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b/>
          <w:color w:val="000000"/>
          <w:spacing w:val="-4"/>
          <w:sz w:val="20"/>
          <w:szCs w:val="20"/>
        </w:rPr>
      </w:pPr>
      <w:r w:rsidRPr="00D00535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Преподаватель программы МВА в Бизнес – школе МИРБИС, </w:t>
      </w:r>
      <w:proofErr w:type="spellStart"/>
      <w:r w:rsidRPr="00D00535">
        <w:rPr>
          <w:rFonts w:ascii="Arial" w:hAnsi="Arial" w:cs="Arial"/>
          <w:b/>
          <w:color w:val="000000"/>
          <w:spacing w:val="-4"/>
          <w:sz w:val="20"/>
          <w:szCs w:val="20"/>
        </w:rPr>
        <w:t>РАНХиГС</w:t>
      </w:r>
      <w:proofErr w:type="spellEnd"/>
      <w:r w:rsidRPr="00D00535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при Президенте РФ </w:t>
      </w:r>
    </w:p>
    <w:p w:rsidR="00D00535" w:rsidRPr="00D00535" w:rsidRDefault="00D00535" w:rsidP="00D00535">
      <w:pPr>
        <w:shd w:val="clear" w:color="auto" w:fill="FFFFFF"/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Научный руководитель направления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HR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management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Центра дополнительного профессионального образования (ДПО) МГУ им. Ломоносова.</w:t>
      </w:r>
    </w:p>
    <w:p w:rsidR="00D00535" w:rsidRPr="00D00535" w:rsidRDefault="00D00535" w:rsidP="00D00535">
      <w:pPr>
        <w:shd w:val="clear" w:color="auto" w:fill="FFFFFF"/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Научный руководитель проекта «Трансфер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HR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практик международными корпорациями» Кафедры Менеджмента человеческих ресурсов, факультета экономических и социальных наук,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Фрибургского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университета (Швейцария)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University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of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Fribourg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Switzerland</w:t>
      </w:r>
    </w:p>
    <w:p w:rsidR="00D00535" w:rsidRPr="00D00535" w:rsidRDefault="00D00535" w:rsidP="00D00535">
      <w:pPr>
        <w:shd w:val="clear" w:color="auto" w:fill="FFFFFF"/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color w:val="000000"/>
          <w:spacing w:val="-4"/>
          <w:sz w:val="20"/>
          <w:szCs w:val="20"/>
        </w:rPr>
        <w:t>Научный руководитель программ МВА Корпоративного Института ОАО «Газпром»</w:t>
      </w:r>
    </w:p>
    <w:p w:rsidR="00D00535" w:rsidRPr="00D00535" w:rsidRDefault="00D00535" w:rsidP="00D00535">
      <w:pPr>
        <w:shd w:val="clear" w:color="auto" w:fill="FFFFFF"/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Опыт:</w:t>
      </w:r>
    </w:p>
    <w:p w:rsidR="00D00535" w:rsidRPr="00D00535" w:rsidRDefault="00D00535" w:rsidP="00D00535">
      <w:pPr>
        <w:widowControl w:val="0"/>
        <w:numPr>
          <w:ilvl w:val="0"/>
          <w:numId w:val="2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Опыт управления проектами по постановке системы регулярного менеджмента на предприятиях, системы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Management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By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Objectives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(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MBO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>).</w:t>
      </w:r>
    </w:p>
    <w:p w:rsidR="00D00535" w:rsidRPr="00D00535" w:rsidRDefault="00D00535" w:rsidP="00D00535">
      <w:pPr>
        <w:widowControl w:val="0"/>
        <w:numPr>
          <w:ilvl w:val="0"/>
          <w:numId w:val="2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D00535">
        <w:rPr>
          <w:rFonts w:ascii="Arial" w:hAnsi="Arial" w:cs="Arial"/>
          <w:color w:val="000000"/>
          <w:spacing w:val="-4"/>
          <w:sz w:val="20"/>
          <w:szCs w:val="20"/>
        </w:rPr>
        <w:t>Навыки построения системы управления персоналом с заданными критериями эффективности деятельности (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KPI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, </w:t>
      </w:r>
      <w:proofErr w:type="gram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К</w:t>
      </w:r>
      <w:proofErr w:type="spellStart"/>
      <w:proofErr w:type="gramEnd"/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ey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Performance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Indicators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>).</w:t>
      </w:r>
    </w:p>
    <w:p w:rsidR="00D00535" w:rsidRPr="00D00535" w:rsidRDefault="00D00535" w:rsidP="00D00535">
      <w:pPr>
        <w:widowControl w:val="0"/>
        <w:numPr>
          <w:ilvl w:val="0"/>
          <w:numId w:val="2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D00535">
        <w:rPr>
          <w:rFonts w:ascii="Arial" w:hAnsi="Arial" w:cs="Arial"/>
          <w:color w:val="000000"/>
          <w:spacing w:val="-4"/>
          <w:sz w:val="20"/>
          <w:szCs w:val="20"/>
        </w:rPr>
        <w:t>Успешный опыт реструктуризации сложных управленческих структур, построение организационных структур крупных предприятий, анализ и оптимизация организационной структуры компании.</w:t>
      </w:r>
    </w:p>
    <w:p w:rsidR="00D00535" w:rsidRPr="00D00535" w:rsidRDefault="00D00535" w:rsidP="00D00535">
      <w:pPr>
        <w:widowControl w:val="0"/>
        <w:numPr>
          <w:ilvl w:val="0"/>
          <w:numId w:val="2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D00535">
        <w:rPr>
          <w:rFonts w:ascii="Arial" w:hAnsi="Arial" w:cs="Arial"/>
          <w:color w:val="000000"/>
          <w:spacing w:val="-4"/>
          <w:sz w:val="20"/>
          <w:szCs w:val="20"/>
        </w:rPr>
        <w:t>Организация, оперативное и стратегическое руководство дирекцией персонала (постановка задач, координация деятельности, оценка качества работы и т.д.) в крупных торговых, производственных компаниях.</w:t>
      </w:r>
    </w:p>
    <w:p w:rsidR="00D00535" w:rsidRPr="00D00535" w:rsidRDefault="00D00535" w:rsidP="00D00535">
      <w:pPr>
        <w:widowControl w:val="0"/>
        <w:numPr>
          <w:ilvl w:val="0"/>
          <w:numId w:val="2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D00535">
        <w:rPr>
          <w:rFonts w:ascii="Arial" w:hAnsi="Arial" w:cs="Arial"/>
          <w:color w:val="000000"/>
          <w:spacing w:val="-4"/>
          <w:sz w:val="20"/>
          <w:szCs w:val="20"/>
        </w:rPr>
        <w:t>Разработка и координация кадровой политики компании и отдельных кадровых программ в соответствии со стратегией развития, бюджетом и спецификой компаний под задачи повышения стоимости предприятий, увеличения инвестиционной привлекательности, капитализации компаний, повышения эффективности управления.</w:t>
      </w:r>
    </w:p>
    <w:p w:rsidR="00D00535" w:rsidRPr="00D00535" w:rsidRDefault="00D00535" w:rsidP="00D00535">
      <w:pPr>
        <w:shd w:val="clear" w:color="auto" w:fill="FFFFFF"/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color w:val="000000"/>
          <w:spacing w:val="-4"/>
          <w:sz w:val="20"/>
          <w:szCs w:val="20"/>
        </w:rPr>
        <w:t>-Владение современными технологиями разработки мотивационной программы, системы зарплат, компенсаций и льгот под стратегию и задачи компании.</w:t>
      </w:r>
    </w:p>
    <w:p w:rsidR="00D00535" w:rsidRPr="00D00535" w:rsidRDefault="00D00535" w:rsidP="00D00535">
      <w:pPr>
        <w:shd w:val="clear" w:color="auto" w:fill="FFFFFF"/>
        <w:tabs>
          <w:tab w:val="left" w:pos="115"/>
        </w:tabs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ab/>
        <w:t xml:space="preserve">Опыт организации и проведения </w:t>
      </w:r>
      <w:proofErr w:type="gram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корпоративных</w:t>
      </w:r>
      <w:proofErr w:type="gram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, открытых бизнес-тренингов по различной тематике.</w:t>
      </w:r>
    </w:p>
    <w:p w:rsidR="00D00535" w:rsidRPr="00D00535" w:rsidRDefault="00D00535" w:rsidP="00D00535">
      <w:pPr>
        <w:shd w:val="clear" w:color="auto" w:fill="FFFFFF"/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Образование: 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>МВА ВШБ МГУ. Сертификаты ВТУ при ЮНЕСКО и т.д. Повышение квалификации и обучение в рамках многочисленных семинаров, тренингов, конференций, стажировок в ряде компаний.</w:t>
      </w:r>
    </w:p>
    <w:p w:rsidR="00D00535" w:rsidRPr="00D00535" w:rsidRDefault="00D00535" w:rsidP="00D00535">
      <w:pPr>
        <w:shd w:val="clear" w:color="auto" w:fill="FFFFFF"/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Автор книг: 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>«HR-стратегия. Инструменты разработки и реализации», «Развитие персонала компании. Практическое пособие».</w:t>
      </w:r>
    </w:p>
    <w:p w:rsidR="00D00535" w:rsidRPr="00D00535" w:rsidRDefault="00D00535" w:rsidP="00D00535">
      <w:pPr>
        <w:shd w:val="clear" w:color="auto" w:fill="FFFFFF"/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Автор публикаций в специализированных изданиях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: 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Ряд статей и публикаций в изданиях «Секрет фирмы», «Элитный персонал», «Управление персоналом», «HR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дайждест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», «Кадровик — управление персоналом», «Современные технологии управления персоналом», «Директор» и др.</w:t>
      </w:r>
    </w:p>
    <w:p w:rsidR="00D00535" w:rsidRPr="00D00535" w:rsidRDefault="00D00535" w:rsidP="00D00535">
      <w:pPr>
        <w:shd w:val="clear" w:color="auto" w:fill="FFFFFF"/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Опыт работы в реальном бизнесе на руководящих должностях</w:t>
      </w:r>
    </w:p>
    <w:p w:rsidR="00D00535" w:rsidRPr="00D00535" w:rsidRDefault="00D00535" w:rsidP="00D00535">
      <w:pPr>
        <w:shd w:val="clear" w:color="auto" w:fill="FFFFFF"/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color w:val="000000"/>
          <w:spacing w:val="-4"/>
          <w:sz w:val="20"/>
          <w:szCs w:val="20"/>
        </w:rPr>
        <w:t>Руководитель направления организационного развития в добывающей компании (83 000 сотрудников). Директор по персоналу с 1999 года в Компаниях численностью от 160 до 24 000 сотрудников.</w:t>
      </w:r>
    </w:p>
    <w:p w:rsidR="00D00535" w:rsidRPr="00D00535" w:rsidRDefault="00D00535" w:rsidP="00D00535">
      <w:pPr>
        <w:shd w:val="clear" w:color="auto" w:fill="FFFFFF"/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bCs/>
          <w:color w:val="000000"/>
          <w:spacing w:val="-4"/>
          <w:sz w:val="20"/>
          <w:szCs w:val="20"/>
          <w:u w:val="single"/>
        </w:rPr>
        <w:t>Клиенты:</w:t>
      </w:r>
      <w:r w:rsidRPr="00D00535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ГМК Норильский Никель, ГК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Нутритек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Салаватнефтеоргсинтез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ГК «Связной», Заволжский Моторный Завод, ИКЕА, ГУМ, Вимм-Билль-Данн, Европейская подшипниковая корпорация, Воркутауголь,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Тезтур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,</w:t>
      </w:r>
      <w:r w:rsidRPr="00D00535">
        <w:rPr>
          <w:rFonts w:ascii="Arial" w:hAnsi="Arial" w:cs="Arial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Новосибирский завод Конденсаторов,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Сибтрансмаш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Амис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Гражданпроект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АФК Система,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Милавица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Комус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ОАО Лебедянский, Алло Кард, Московский завод авиационных подшипников, МГИМО,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СеверстальАвто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(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Соллерс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), Градиент, МА Шереметьево, СИБУР, Домодедово (</w:t>
      </w:r>
      <w:proofErr w:type="spellStart"/>
      <w:proofErr w:type="gram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Ист</w:t>
      </w:r>
      <w:proofErr w:type="spellEnd"/>
      <w:proofErr w:type="gram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Лайн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), Министерство образования Хабаровского края,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Efes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Компания «Энергия», ОАО «РЖД», ФГУП «Почта России», ПК «Магистраль»,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Kcell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Alcon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>, Первая грузовая компания, ГК «Агро-Белогорье», Холдинг «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Зерде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»   ГК СТК,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НорильскГазпром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Мегафон - Ритейл, Корпорация Сибирское Здоровье, Правительство Республики Азербайджан,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Таймыргаз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Иркутский Аэропорт, Корпорация «Вертолеты России», УМПО,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Fujitsu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ЖКХ г. Москвы, ММК-Метиз, ТАУ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Нефтехим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Кухни Мария,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Nissan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Dr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.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Reddy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>’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s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Laboratories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Ltd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Бегемот (супермаркеты игрушек), СОГАЗ,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Промтранс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, АО ”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Каражанбасмунай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”,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Казцинк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, Никомед (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Такеда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), КРОК, Катрен, Аэропорт Пулково, Апатит.</w:t>
      </w:r>
    </w:p>
    <w:p w:rsidR="00D00535" w:rsidRPr="00D00535" w:rsidRDefault="00D00535" w:rsidP="00D00535">
      <w:pPr>
        <w:shd w:val="clear" w:color="auto" w:fill="FFFFFF"/>
        <w:ind w:firstLine="540"/>
        <w:jc w:val="both"/>
        <w:rPr>
          <w:rFonts w:ascii="Arial" w:hAnsi="Arial" w:cs="Arial"/>
          <w:spacing w:val="-4"/>
          <w:sz w:val="20"/>
          <w:szCs w:val="20"/>
        </w:rPr>
      </w:pPr>
      <w:r w:rsidRPr="00D00535">
        <w:rPr>
          <w:rFonts w:ascii="Arial" w:hAnsi="Arial" w:cs="Arial"/>
          <w:bCs/>
          <w:color w:val="000000"/>
          <w:spacing w:val="-4"/>
          <w:sz w:val="20"/>
          <w:szCs w:val="20"/>
          <w:u w:val="single"/>
        </w:rPr>
        <w:t>Энергетика:</w:t>
      </w:r>
      <w:r w:rsidRPr="00D00535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Газпром, Роснефть,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КазМунайгаз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ЛенЭнерго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КубаньЭнерго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Мосэнерго,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ЯкутскЭнерго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КУ РАО, МОЭК, МОЭСК, ФСК, ЛОЭСК, РАО ЭС Востока, Лукойл, НК Альянс,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Sakhalin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Energy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Investment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Company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Транснефть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Газпромнефть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Башнефть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Московский НПЗ,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Kazakhstan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Petrochemical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Industries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Inc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Emir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Oil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>.</w:t>
      </w:r>
    </w:p>
    <w:p w:rsidR="00ED477D" w:rsidRPr="00D00535" w:rsidRDefault="00D00535" w:rsidP="00D00535">
      <w:pPr>
        <w:shd w:val="clear" w:color="auto" w:fill="FFFFFF"/>
        <w:ind w:firstLine="540"/>
        <w:jc w:val="both"/>
        <w:rPr>
          <w:spacing w:val="-4"/>
          <w:sz w:val="20"/>
          <w:szCs w:val="20"/>
        </w:rPr>
      </w:pPr>
      <w:r w:rsidRPr="00D00535">
        <w:rPr>
          <w:rFonts w:ascii="Arial" w:hAnsi="Arial" w:cs="Arial"/>
          <w:bCs/>
          <w:color w:val="000000"/>
          <w:spacing w:val="-4"/>
          <w:sz w:val="20"/>
          <w:szCs w:val="20"/>
          <w:u w:val="single"/>
        </w:rPr>
        <w:t>Банки:</w:t>
      </w:r>
      <w:r w:rsidRPr="00D00535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Альфа-банк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ВТБ,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Сибакадембанк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(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Урса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),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Bank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Standard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. </w:t>
      </w:r>
      <w:proofErr w:type="spellStart"/>
      <w:proofErr w:type="gramStart"/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Unibank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Bank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of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0535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Baku</w:t>
      </w:r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Уралсиб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 xml:space="preserve">, Сбербанк, Европейский трастовый банк, Управляющая компания Росбанка, Банк Зенит, </w:t>
      </w:r>
      <w:proofErr w:type="spellStart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Новикомбанк</w:t>
      </w:r>
      <w:proofErr w:type="spellEnd"/>
      <w:r w:rsidRPr="00D00535">
        <w:rPr>
          <w:rFonts w:ascii="Arial" w:hAnsi="Arial" w:cs="Arial"/>
          <w:color w:val="000000"/>
          <w:spacing w:val="-4"/>
          <w:sz w:val="20"/>
          <w:szCs w:val="20"/>
        </w:rPr>
        <w:t>.</w:t>
      </w:r>
      <w:bookmarkStart w:id="0" w:name="_GoBack"/>
      <w:bookmarkEnd w:id="0"/>
      <w:proofErr w:type="gramEnd"/>
    </w:p>
    <w:sectPr w:rsidR="00ED477D" w:rsidRPr="00D00535" w:rsidSect="008B1C41">
      <w:pgSz w:w="11906" w:h="16838"/>
      <w:pgMar w:top="1134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509EF8"/>
    <w:lvl w:ilvl="0">
      <w:numFmt w:val="bullet"/>
      <w:lvlText w:val="*"/>
      <w:lvlJc w:val="left"/>
    </w:lvl>
  </w:abstractNum>
  <w:abstractNum w:abstractNumId="1">
    <w:nsid w:val="0B0B5365"/>
    <w:multiLevelType w:val="hybridMultilevel"/>
    <w:tmpl w:val="663EB126"/>
    <w:lvl w:ilvl="0" w:tplc="6224667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35"/>
    <w:rsid w:val="00D00535"/>
    <w:rsid w:val="00E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2014-10-01T06:20:00Z</dcterms:created>
  <dcterms:modified xsi:type="dcterms:W3CDTF">2014-10-01T06:29:00Z</dcterms:modified>
</cp:coreProperties>
</file>